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9E" w:rsidRPr="00A7029E" w:rsidRDefault="00A7029E" w:rsidP="00A7029E">
      <w:pPr>
        <w:pStyle w:val="1"/>
        <w:rPr>
          <w:rFonts w:eastAsia="Times New Roman"/>
          <w:lang w:eastAsia="ru-RU"/>
        </w:rPr>
      </w:pPr>
      <w:r w:rsidRPr="00A7029E">
        <w:rPr>
          <w:rFonts w:eastAsia="Times New Roman"/>
          <w:lang w:eastAsia="ru-RU"/>
        </w:rPr>
        <w:t xml:space="preserve">Принцип работы </w:t>
      </w:r>
      <w:proofErr w:type="spellStart"/>
      <w:r w:rsidRPr="00A7029E">
        <w:rPr>
          <w:rFonts w:eastAsia="Times New Roman"/>
          <w:lang w:eastAsia="ru-RU"/>
        </w:rPr>
        <w:t>Стохастиков</w:t>
      </w:r>
      <w:proofErr w:type="spellEnd"/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Главная идея заключается в том, что при восходящем тренде цена закрытия часто замирает на уровне  предшествующих максимумов. При нисходящем тренде, наоборот, цена закрытия замирает  на уровне ранних минимумов.  </w:t>
      </w:r>
      <w:proofErr w:type="spellStart"/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Стохастики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отражают разницу между ценами закрытия настоящего периода и предшествующих периодов на заданном временном интервале.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noProof/>
          <w:sz w:val="28"/>
          <w:szCs w:val="28"/>
          <w:lang w:eastAsia="ru-RU"/>
        </w:rPr>
        <w:drawing>
          <wp:inline distT="0" distB="0" distL="0" distR="0" wp14:anchorId="3489B2B5" wp14:editId="21998B51">
            <wp:extent cx="4285615" cy="3220720"/>
            <wp:effectExtent l="0" t="0" r="635" b="0"/>
            <wp:docPr id="6" name="Рисунок 6" descr="стохастика (стохастический осциллятор) на графике PG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охастика (стохастический осциллятор) на графике PGO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322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Как вы можете наблюдать на скриншоте,</w:t>
      </w:r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 xml:space="preserve"> стохастический осциллятор</w:t>
      </w: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состоит из двух линий.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i/>
          <w:iCs/>
          <w:sz w:val="28"/>
          <w:szCs w:val="28"/>
          <w:lang w:eastAsia="ru-RU"/>
        </w:rPr>
        <w:t>%K</w:t>
      </w: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— быстрая </w:t>
      </w: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стохастика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. Синяя линия.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i/>
          <w:iCs/>
          <w:sz w:val="28"/>
          <w:szCs w:val="28"/>
          <w:lang w:eastAsia="ru-RU"/>
        </w:rPr>
        <w:t>%D</w:t>
      </w: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— медленная </w:t>
      </w: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стохастика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. %D является скользящей средней для %K. В разных индикаторах используются разные виды </w:t>
      </w: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скольщих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средних.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 xml:space="preserve">Формула расчета </w:t>
      </w:r>
      <w:proofErr w:type="spellStart"/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стохастиков</w:t>
      </w:r>
      <w:proofErr w:type="spellEnd"/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%K = ((С – </w:t>
      </w: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Minn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)/(</w:t>
      </w: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Maxn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– </w:t>
      </w: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Minn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)) * 100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Где: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proofErr w:type="gram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С</w:t>
      </w:r>
      <w:proofErr w:type="gram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 —  </w:t>
      </w:r>
      <w:proofErr w:type="gram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цена</w:t>
      </w:r>
      <w:proofErr w:type="gram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закрытия настоящего периода.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Minn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— наименьшая цена на интервале n периодов.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proofErr w:type="spellStart"/>
      <w:proofErr w:type="gram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М</w:t>
      </w:r>
      <w:proofErr w:type="gram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axn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— наибольшая цена на интервале n периодов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При анализе вышеуказанной формулы можно понять, что эта формула  -  отношение разности минимальной цены и цены закрытия, к абсолютной </w:t>
      </w: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lastRenderedPageBreak/>
        <w:t>величине варьирования цен на заданном временном промежутке.  То есть полученные величины будут находиться от 0 до 1, для удобства эти значения переводятся в проценты.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 xml:space="preserve">Торговые сигналы </w:t>
      </w:r>
      <w:proofErr w:type="spellStart"/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стохастика</w:t>
      </w:r>
      <w:proofErr w:type="spellEnd"/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: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Сигнал к покупке. Если любая из линий (%K \ %D) спускается ниже 20%, но вскоре поднимается обратно.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Сигнал к продаже. По аналогии с сигналом покупки, линии превышают порог  80%, а затем снижаются до уровня меньше 80%.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noProof/>
          <w:sz w:val="28"/>
          <w:szCs w:val="28"/>
          <w:lang w:eastAsia="ru-RU"/>
        </w:rPr>
        <w:drawing>
          <wp:inline distT="0" distB="0" distL="0" distR="0" wp14:anchorId="1A8279CB" wp14:editId="1A8732A5">
            <wp:extent cx="5049520" cy="2865755"/>
            <wp:effectExtent l="0" t="0" r="0" b="0"/>
            <wp:docPr id="5" name="Рисунок 5" descr="ozfx d1 indaes v1.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zfx d1 indaes v1.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520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Сигнал к покупке.  %K возвышается над  %D. Сигнал к продаже. %K становится ниже %D.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noProof/>
          <w:sz w:val="28"/>
          <w:szCs w:val="28"/>
          <w:lang w:eastAsia="ru-RU"/>
        </w:rPr>
        <w:drawing>
          <wp:inline distT="0" distB="0" distL="0" distR="0" wp14:anchorId="4FAEABDF" wp14:editId="7B04723C">
            <wp:extent cx="5029200" cy="2688590"/>
            <wp:effectExtent l="0" t="0" r="0" b="0"/>
            <wp:docPr id="4" name="Рисунок 4" descr="ozfx d1 indaes v2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zfx d1 indaes v2.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Расхождения (Дивергенция) - очень важный сигнал. Расхождение возникает, когда </w:t>
      </w:r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стохастический осциллятор</w:t>
      </w: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прогнозирует падение цены</w:t>
      </w:r>
      <w:proofErr w:type="gram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( </w:t>
      </w:r>
      <w:proofErr w:type="gram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%K уменьшается), но график цены растет. Это сигнал к тому, что скоро цены упадут, то есть нужно продавать, либо наоборот, график цены убывает, а %K </w:t>
      </w: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lastRenderedPageBreak/>
        <w:t xml:space="preserve">увеличивается – сигнал покупки. Если при этом </w:t>
      </w:r>
      <w:proofErr w:type="spellStart"/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стохастик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выходит за рамки 20% или </w:t>
      </w:r>
      <w:proofErr w:type="gram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80</w:t>
      </w:r>
      <w:proofErr w:type="gram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% то это особо сильный сигнал. 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Дивергенция быва</w:t>
      </w:r>
      <w:r>
        <w:rPr>
          <w:rFonts w:asciiTheme="majorHAnsi" w:eastAsia="Times New Roman" w:hAnsiTheme="majorHAnsi" w:cs="Times New Roman"/>
          <w:sz w:val="28"/>
          <w:szCs w:val="28"/>
          <w:lang w:eastAsia="ru-RU"/>
        </w:rPr>
        <w:t>ет 2-х видов: медвежья и бычья.</w:t>
      </w:r>
      <w:hyperlink r:id="rId8" w:history="1"/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noProof/>
          <w:sz w:val="28"/>
          <w:szCs w:val="28"/>
          <w:lang w:eastAsia="ru-RU"/>
        </w:rPr>
        <w:drawing>
          <wp:inline distT="0" distB="0" distL="0" distR="0" wp14:anchorId="749F5B09" wp14:editId="20745033">
            <wp:extent cx="3616960" cy="3746500"/>
            <wp:effectExtent l="0" t="0" r="2540" b="6350"/>
            <wp:docPr id="3" name="Рисунок 3" descr="divergenc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vergence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374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noProof/>
          <w:sz w:val="28"/>
          <w:szCs w:val="28"/>
          <w:lang w:eastAsia="ru-RU"/>
        </w:rPr>
        <w:drawing>
          <wp:inline distT="0" distB="0" distL="0" distR="0" wp14:anchorId="2935659B" wp14:editId="0087C42E">
            <wp:extent cx="4039870" cy="3486785"/>
            <wp:effectExtent l="0" t="0" r="0" b="0"/>
            <wp:docPr id="2" name="Рисунок 2" descr="diverge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vergence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870" cy="348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Превышение уровня 80% при росте индикатора свидетельствует о том, что цены в скором времени пойдут на спад. Аналогично если индикатор происходит уровень 20%. В этом случае спад цены в скором времени прекратится, и тренд станет восходящим.</w:t>
      </w:r>
    </w:p>
    <w:p w:rsidR="00A7029E" w:rsidRP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37DB628" wp14:editId="38C20522">
            <wp:extent cx="4182745" cy="3889375"/>
            <wp:effectExtent l="0" t="0" r="8255" b="0"/>
            <wp:docPr id="1" name="Рисунок 1" descr="stochastic oscillato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tochastic oscillator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745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9E" w:rsidRDefault="00A7029E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 xml:space="preserve">Стохастические осцилляторы </w:t>
      </w: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весьма распространенный на Рынке </w:t>
      </w: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Форекс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  метод технического анализа. Он используется целым классом индикаторов </w:t>
      </w:r>
      <w:proofErr w:type="spellStart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>Форекс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, которые так и называются: </w:t>
      </w:r>
      <w:proofErr w:type="spellStart"/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стохастики</w:t>
      </w:r>
      <w:proofErr w:type="spellEnd"/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. </w:t>
      </w:r>
      <w:r w:rsidRPr="00A7029E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Стохастический осциллятор</w:t>
      </w:r>
      <w:r w:rsidRPr="00A7029E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подходит  для торговли практически в любых условиях, но для отсеивания не нужных сигналов, трейдерам рекомендуется использовать этот индикатор в купе с другими инструментами. </w:t>
      </w:r>
    </w:p>
    <w:p w:rsidR="00296D56" w:rsidRDefault="00296D56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</w:p>
    <w:p w:rsidR="00296D56" w:rsidRPr="00496BFB" w:rsidRDefault="00296D56" w:rsidP="00296D56">
      <w:pPr>
        <w:pStyle w:val="a3"/>
        <w:contextualSpacing/>
        <w:jc w:val="right"/>
        <w:rPr>
          <w:sz w:val="28"/>
          <w:szCs w:val="28"/>
        </w:rPr>
      </w:pPr>
      <w:r w:rsidRPr="00496BFB">
        <w:rPr>
          <w:sz w:val="28"/>
          <w:szCs w:val="28"/>
        </w:rPr>
        <w:t xml:space="preserve">Идея предоставлена информационным порталом </w:t>
      </w:r>
      <w:hyperlink r:id="rId12" w:history="1">
        <w:r w:rsidRPr="00496BFB">
          <w:rPr>
            <w:rStyle w:val="a4"/>
            <w:sz w:val="28"/>
            <w:szCs w:val="28"/>
          </w:rPr>
          <w:t>Inf</w:t>
        </w:r>
        <w:bookmarkStart w:id="0" w:name="_GoBack"/>
        <w:bookmarkEnd w:id="0"/>
        <w:r w:rsidRPr="00496BFB">
          <w:rPr>
            <w:rStyle w:val="a4"/>
            <w:sz w:val="28"/>
            <w:szCs w:val="28"/>
          </w:rPr>
          <w:t>o</w:t>
        </w:r>
        <w:r w:rsidRPr="00496BFB">
          <w:rPr>
            <w:rStyle w:val="a4"/>
            <w:sz w:val="28"/>
            <w:szCs w:val="28"/>
          </w:rPr>
          <w:t>Fx.ru</w:t>
        </w:r>
      </w:hyperlink>
    </w:p>
    <w:p w:rsidR="00296D56" w:rsidRPr="00A7029E" w:rsidRDefault="00296D56" w:rsidP="00A7029E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</w:p>
    <w:p w:rsidR="00D250E9" w:rsidRPr="00A7029E" w:rsidRDefault="00D250E9">
      <w:pPr>
        <w:rPr>
          <w:rFonts w:asciiTheme="majorHAnsi" w:hAnsiTheme="majorHAnsi"/>
          <w:sz w:val="28"/>
          <w:szCs w:val="28"/>
        </w:rPr>
      </w:pPr>
    </w:p>
    <w:p w:rsidR="00A7029E" w:rsidRPr="00A7029E" w:rsidRDefault="00A7029E">
      <w:pPr>
        <w:rPr>
          <w:rFonts w:asciiTheme="majorHAnsi" w:hAnsiTheme="majorHAnsi"/>
          <w:sz w:val="28"/>
          <w:szCs w:val="28"/>
        </w:rPr>
      </w:pPr>
    </w:p>
    <w:p w:rsidR="00A7029E" w:rsidRPr="00A7029E" w:rsidRDefault="00A7029E">
      <w:pPr>
        <w:rPr>
          <w:rFonts w:asciiTheme="majorHAnsi" w:hAnsiTheme="majorHAnsi"/>
          <w:sz w:val="28"/>
          <w:szCs w:val="28"/>
        </w:rPr>
      </w:pPr>
    </w:p>
    <w:sectPr w:rsidR="00A7029E" w:rsidRPr="00A7029E" w:rsidSect="00A702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56"/>
    <w:rsid w:val="00296D56"/>
    <w:rsid w:val="00A7029E"/>
    <w:rsid w:val="00D250E9"/>
    <w:rsid w:val="00E4035D"/>
    <w:rsid w:val="00E9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02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702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02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A7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8">
    <w:name w:val="style8"/>
    <w:basedOn w:val="a0"/>
    <w:rsid w:val="00A7029E"/>
  </w:style>
  <w:style w:type="character" w:customStyle="1" w:styleId="style1">
    <w:name w:val="style1"/>
    <w:basedOn w:val="a0"/>
    <w:rsid w:val="00A7029E"/>
  </w:style>
  <w:style w:type="paragraph" w:customStyle="1" w:styleId="style4">
    <w:name w:val="style4"/>
    <w:basedOn w:val="a"/>
    <w:rsid w:val="00A7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029E"/>
    <w:rPr>
      <w:color w:val="0000FF"/>
      <w:u w:val="single"/>
    </w:rPr>
  </w:style>
  <w:style w:type="paragraph" w:customStyle="1" w:styleId="style11">
    <w:name w:val="style11"/>
    <w:basedOn w:val="a"/>
    <w:rsid w:val="00A7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7029E"/>
    <w:rPr>
      <w:b/>
      <w:bCs/>
    </w:rPr>
  </w:style>
  <w:style w:type="character" w:styleId="a6">
    <w:name w:val="Emphasis"/>
    <w:basedOn w:val="a0"/>
    <w:uiPriority w:val="20"/>
    <w:qFormat/>
    <w:rsid w:val="00A7029E"/>
    <w:rPr>
      <w:i/>
      <w:iCs/>
    </w:rPr>
  </w:style>
  <w:style w:type="paragraph" w:customStyle="1" w:styleId="style9">
    <w:name w:val="style9"/>
    <w:basedOn w:val="a"/>
    <w:rsid w:val="00A7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2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02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FollowedHyperlink"/>
    <w:basedOn w:val="a0"/>
    <w:uiPriority w:val="99"/>
    <w:semiHidden/>
    <w:unhideWhenUsed/>
    <w:rsid w:val="00E4035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02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702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02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A7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8">
    <w:name w:val="style8"/>
    <w:basedOn w:val="a0"/>
    <w:rsid w:val="00A7029E"/>
  </w:style>
  <w:style w:type="character" w:customStyle="1" w:styleId="style1">
    <w:name w:val="style1"/>
    <w:basedOn w:val="a0"/>
    <w:rsid w:val="00A7029E"/>
  </w:style>
  <w:style w:type="paragraph" w:customStyle="1" w:styleId="style4">
    <w:name w:val="style4"/>
    <w:basedOn w:val="a"/>
    <w:rsid w:val="00A7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029E"/>
    <w:rPr>
      <w:color w:val="0000FF"/>
      <w:u w:val="single"/>
    </w:rPr>
  </w:style>
  <w:style w:type="paragraph" w:customStyle="1" w:styleId="style11">
    <w:name w:val="style11"/>
    <w:basedOn w:val="a"/>
    <w:rsid w:val="00A7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7029E"/>
    <w:rPr>
      <w:b/>
      <w:bCs/>
    </w:rPr>
  </w:style>
  <w:style w:type="character" w:styleId="a6">
    <w:name w:val="Emphasis"/>
    <w:basedOn w:val="a0"/>
    <w:uiPriority w:val="20"/>
    <w:qFormat/>
    <w:rsid w:val="00A7029E"/>
    <w:rPr>
      <w:i/>
      <w:iCs/>
    </w:rPr>
  </w:style>
  <w:style w:type="paragraph" w:customStyle="1" w:styleId="style9">
    <w:name w:val="style9"/>
    <w:basedOn w:val="a"/>
    <w:rsid w:val="00A7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2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02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FollowedHyperlink"/>
    <w:basedOn w:val="a0"/>
    <w:uiPriority w:val="99"/>
    <w:semiHidden/>
    <w:unhideWhenUsed/>
    <w:rsid w:val="00E403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grams-forex.ru/forexobuch/divergenciya-vidi-divergentsii-indicator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infofx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2017-02-02T17:23:00Z</dcterms:created>
  <dcterms:modified xsi:type="dcterms:W3CDTF">2017-02-02T17:25:00Z</dcterms:modified>
</cp:coreProperties>
</file>